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4D3" w:rsidRDefault="006F04D3"/>
    <w:p w:rsidR="00A05656" w:rsidRDefault="00A05656" w:rsidP="00A05656">
      <w:pPr>
        <w:spacing w:after="0" w:line="240" w:lineRule="auto"/>
        <w:jc w:val="center"/>
        <w:rPr>
          <w:rFonts w:ascii="Calibri Bold" w:hAnsi="Calibri Bold"/>
        </w:rPr>
      </w:pPr>
      <w:r>
        <w:rPr>
          <w:rFonts w:ascii="Calibri Bold" w:hAnsi="Calibri Bold"/>
        </w:rPr>
        <w:t>Segundo seminario – taller para el fortalecimiento de las capacidades de las autoridades consulares en la protección de los derechos laborales de las personas migrantes trabajadoras</w:t>
      </w:r>
    </w:p>
    <w:p w:rsidR="00A05656" w:rsidRDefault="00A05656" w:rsidP="00A05656">
      <w:pPr>
        <w:spacing w:after="0" w:line="240" w:lineRule="auto"/>
        <w:jc w:val="center"/>
        <w:rPr>
          <w:rFonts w:ascii="Calibri Bold" w:hAnsi="Calibri Bold"/>
        </w:rPr>
      </w:pPr>
    </w:p>
    <w:p w:rsidR="00A05656" w:rsidRDefault="00A05656" w:rsidP="00A05656">
      <w:pPr>
        <w:spacing w:after="0" w:line="240" w:lineRule="auto"/>
        <w:jc w:val="center"/>
        <w:rPr>
          <w:rFonts w:ascii="Calibri Bold" w:hAnsi="Calibri Bold"/>
        </w:rPr>
      </w:pPr>
      <w:r>
        <w:rPr>
          <w:rFonts w:ascii="Calibri Bold" w:hAnsi="Calibri Bold"/>
        </w:rPr>
        <w:t>Tegucigalpa, Honduras, 5 y 6 de noviembre 2013</w:t>
      </w:r>
    </w:p>
    <w:p w:rsidR="00656102" w:rsidRDefault="00656102" w:rsidP="00A05656">
      <w:pPr>
        <w:jc w:val="center"/>
        <w:rPr>
          <w:rFonts w:ascii="Arial Black" w:hAnsi="Arial Black"/>
          <w:sz w:val="28"/>
          <w:szCs w:val="28"/>
        </w:rPr>
      </w:pPr>
    </w:p>
    <w:p w:rsidR="00A05656" w:rsidRDefault="00A05656" w:rsidP="00A05656">
      <w:pPr>
        <w:jc w:val="center"/>
        <w:rPr>
          <w:rFonts w:ascii="Arial Black" w:hAnsi="Arial Black"/>
          <w:sz w:val="28"/>
          <w:szCs w:val="28"/>
        </w:rPr>
      </w:pPr>
      <w:r w:rsidRPr="00A05656">
        <w:rPr>
          <w:rFonts w:ascii="Arial Black" w:hAnsi="Arial Black"/>
          <w:sz w:val="28"/>
          <w:szCs w:val="28"/>
        </w:rPr>
        <w:t>TRABAJO DE GRUPO</w:t>
      </w:r>
    </w:p>
    <w:p w:rsidR="00AB6B1A" w:rsidRDefault="00AB6B1A" w:rsidP="00AB6B1A">
      <w:pPr>
        <w:spacing w:after="120" w:line="240" w:lineRule="auto"/>
        <w:jc w:val="both"/>
        <w:rPr>
          <w:i/>
          <w:sz w:val="26"/>
          <w:szCs w:val="26"/>
        </w:rPr>
      </w:pPr>
      <w:r w:rsidRPr="00AB6B1A">
        <w:rPr>
          <w:i/>
          <w:sz w:val="26"/>
          <w:szCs w:val="26"/>
        </w:rPr>
        <w:t>Desarrollo de propuestas de lineamientos para el involucramientos de las autoridades consulares en la protección de los derechos laborales de las personas migrantes trabajadoras,  desde la perspectiva de los nuevos retos presentados durante el Seminario-Taller</w:t>
      </w:r>
    </w:p>
    <w:tbl>
      <w:tblPr>
        <w:tblStyle w:val="Tablaconcuadrcula"/>
        <w:tblW w:w="0" w:type="auto"/>
        <w:tblLook w:val="04A0"/>
      </w:tblPr>
      <w:tblGrid>
        <w:gridCol w:w="4382"/>
        <w:gridCol w:w="4382"/>
        <w:gridCol w:w="4382"/>
      </w:tblGrid>
      <w:tr w:rsidR="00AB6B1A" w:rsidTr="00AB6B1A">
        <w:tc>
          <w:tcPr>
            <w:tcW w:w="4382" w:type="dxa"/>
          </w:tcPr>
          <w:p w:rsidR="00AB6B1A" w:rsidRDefault="00AB6B1A" w:rsidP="007D5277">
            <w:pPr>
              <w:spacing w:after="120"/>
              <w:jc w:val="center"/>
              <w:rPr>
                <w:i/>
                <w:sz w:val="26"/>
                <w:szCs w:val="26"/>
              </w:rPr>
            </w:pPr>
            <w:r>
              <w:rPr>
                <w:i/>
                <w:sz w:val="26"/>
                <w:szCs w:val="26"/>
              </w:rPr>
              <w:t>Lineamientos</w:t>
            </w:r>
          </w:p>
        </w:tc>
        <w:tc>
          <w:tcPr>
            <w:tcW w:w="4382" w:type="dxa"/>
          </w:tcPr>
          <w:p w:rsidR="00AB6B1A" w:rsidRDefault="00AB6B1A" w:rsidP="007D5277">
            <w:pPr>
              <w:spacing w:after="120"/>
              <w:jc w:val="center"/>
              <w:rPr>
                <w:i/>
                <w:sz w:val="26"/>
                <w:szCs w:val="26"/>
              </w:rPr>
            </w:pPr>
            <w:r>
              <w:rPr>
                <w:i/>
                <w:sz w:val="26"/>
                <w:szCs w:val="26"/>
              </w:rPr>
              <w:t xml:space="preserve">Estrategia de desarrollo ( </w:t>
            </w:r>
            <w:r w:rsidR="00133625">
              <w:rPr>
                <w:i/>
                <w:sz w:val="26"/>
                <w:szCs w:val="26"/>
              </w:rPr>
              <w:softHyphen/>
            </w:r>
            <w:r>
              <w:rPr>
                <w:i/>
                <w:sz w:val="26"/>
                <w:szCs w:val="26"/>
              </w:rPr>
              <w:t>cómo, a través de qué</w:t>
            </w:r>
            <w:proofErr w:type="gramStart"/>
            <w:r>
              <w:rPr>
                <w:i/>
                <w:sz w:val="26"/>
                <w:szCs w:val="26"/>
              </w:rPr>
              <w:t>?</w:t>
            </w:r>
            <w:proofErr w:type="gramEnd"/>
            <w:r>
              <w:rPr>
                <w:i/>
                <w:sz w:val="26"/>
                <w:szCs w:val="26"/>
              </w:rPr>
              <w:t>)</w:t>
            </w:r>
          </w:p>
        </w:tc>
        <w:tc>
          <w:tcPr>
            <w:tcW w:w="4382" w:type="dxa"/>
          </w:tcPr>
          <w:p w:rsidR="00AB6B1A" w:rsidRDefault="00B75F4A" w:rsidP="007D5277">
            <w:pPr>
              <w:spacing w:after="120"/>
              <w:jc w:val="center"/>
              <w:rPr>
                <w:i/>
                <w:sz w:val="26"/>
                <w:szCs w:val="26"/>
              </w:rPr>
            </w:pPr>
            <w:r>
              <w:rPr>
                <w:i/>
                <w:sz w:val="26"/>
                <w:szCs w:val="26"/>
              </w:rPr>
              <w:t>Condiciones previas que son necesarias para la implementación de los lineamientos</w:t>
            </w:r>
          </w:p>
        </w:tc>
      </w:tr>
      <w:tr w:rsidR="00AB6B1A" w:rsidTr="00AB6B1A">
        <w:tc>
          <w:tcPr>
            <w:tcW w:w="4382" w:type="dxa"/>
          </w:tcPr>
          <w:p w:rsidR="00C747AE" w:rsidRPr="005E3A6C" w:rsidRDefault="00133625" w:rsidP="00AB6B1A">
            <w:pPr>
              <w:spacing w:after="120"/>
              <w:jc w:val="both"/>
              <w:rPr>
                <w:b/>
                <w:i/>
                <w:sz w:val="26"/>
                <w:szCs w:val="26"/>
              </w:rPr>
            </w:pPr>
            <w:r w:rsidRPr="005E3A6C">
              <w:rPr>
                <w:b/>
                <w:i/>
                <w:sz w:val="26"/>
                <w:szCs w:val="26"/>
              </w:rPr>
              <w:t>Ratificación convenios de OIT</w:t>
            </w:r>
          </w:p>
        </w:tc>
        <w:tc>
          <w:tcPr>
            <w:tcW w:w="4382" w:type="dxa"/>
          </w:tcPr>
          <w:p w:rsidR="00AB6B1A" w:rsidRDefault="00CB3C0A" w:rsidP="00AB6B1A">
            <w:pPr>
              <w:spacing w:after="120"/>
              <w:jc w:val="both"/>
              <w:rPr>
                <w:i/>
                <w:sz w:val="26"/>
                <w:szCs w:val="26"/>
              </w:rPr>
            </w:pPr>
            <w:r>
              <w:rPr>
                <w:i/>
                <w:sz w:val="26"/>
                <w:szCs w:val="26"/>
              </w:rPr>
              <w:t>Promoción interna entre las autoridades de cada país para la ratificación y firma de los instrumentos internacionales</w:t>
            </w:r>
          </w:p>
        </w:tc>
        <w:tc>
          <w:tcPr>
            <w:tcW w:w="4382" w:type="dxa"/>
          </w:tcPr>
          <w:p w:rsidR="00AB6B1A" w:rsidRDefault="00CB3C0A" w:rsidP="00AB6B1A">
            <w:pPr>
              <w:spacing w:after="120"/>
              <w:jc w:val="both"/>
              <w:rPr>
                <w:i/>
                <w:sz w:val="26"/>
                <w:szCs w:val="26"/>
              </w:rPr>
            </w:pPr>
            <w:r>
              <w:rPr>
                <w:i/>
                <w:sz w:val="26"/>
                <w:szCs w:val="26"/>
              </w:rPr>
              <w:t>Armonizar el derecho interno con la legislación internacional</w:t>
            </w:r>
          </w:p>
        </w:tc>
      </w:tr>
      <w:tr w:rsidR="00AB6B1A" w:rsidTr="00AB6B1A">
        <w:tc>
          <w:tcPr>
            <w:tcW w:w="4382" w:type="dxa"/>
          </w:tcPr>
          <w:p w:rsidR="00C747AE" w:rsidRPr="005E3A6C" w:rsidRDefault="00133625" w:rsidP="00AB6B1A">
            <w:pPr>
              <w:spacing w:after="120"/>
              <w:jc w:val="both"/>
              <w:rPr>
                <w:b/>
                <w:i/>
                <w:sz w:val="26"/>
                <w:szCs w:val="26"/>
              </w:rPr>
            </w:pPr>
            <w:r w:rsidRPr="005E3A6C">
              <w:rPr>
                <w:b/>
                <w:i/>
                <w:sz w:val="26"/>
                <w:szCs w:val="26"/>
              </w:rPr>
              <w:t>C</w:t>
            </w:r>
            <w:r w:rsidR="00CB3C0A" w:rsidRPr="005E3A6C">
              <w:rPr>
                <w:b/>
                <w:i/>
                <w:sz w:val="26"/>
                <w:szCs w:val="26"/>
              </w:rPr>
              <w:t xml:space="preserve">apacitación al personal consular y de las cancillerías </w:t>
            </w:r>
          </w:p>
        </w:tc>
        <w:tc>
          <w:tcPr>
            <w:tcW w:w="4382" w:type="dxa"/>
          </w:tcPr>
          <w:p w:rsidR="00AB6B1A" w:rsidRDefault="005E3A6C" w:rsidP="00AB6B1A">
            <w:pPr>
              <w:spacing w:after="120"/>
              <w:jc w:val="both"/>
              <w:rPr>
                <w:i/>
                <w:sz w:val="26"/>
                <w:szCs w:val="26"/>
              </w:rPr>
            </w:pPr>
            <w:r>
              <w:rPr>
                <w:i/>
                <w:sz w:val="26"/>
                <w:szCs w:val="26"/>
              </w:rPr>
              <w:t>Cooperación internacional</w:t>
            </w:r>
          </w:p>
        </w:tc>
        <w:tc>
          <w:tcPr>
            <w:tcW w:w="4382" w:type="dxa"/>
          </w:tcPr>
          <w:p w:rsidR="00AB6B1A" w:rsidRDefault="00CB3C0A" w:rsidP="00AB6B1A">
            <w:pPr>
              <w:spacing w:after="120"/>
              <w:jc w:val="both"/>
              <w:rPr>
                <w:i/>
                <w:sz w:val="26"/>
                <w:szCs w:val="26"/>
              </w:rPr>
            </w:pPr>
            <w:r>
              <w:rPr>
                <w:i/>
                <w:sz w:val="26"/>
                <w:szCs w:val="26"/>
              </w:rPr>
              <w:t xml:space="preserve">Financiamiento externo de las organizaciones internacionales </w:t>
            </w:r>
            <w:r w:rsidR="005E3A6C">
              <w:rPr>
                <w:i/>
                <w:sz w:val="26"/>
                <w:szCs w:val="26"/>
              </w:rPr>
              <w:t>OIT y OIM y otras</w:t>
            </w:r>
          </w:p>
        </w:tc>
      </w:tr>
      <w:tr w:rsidR="00AB6B1A" w:rsidTr="00AB6B1A">
        <w:tc>
          <w:tcPr>
            <w:tcW w:w="4382" w:type="dxa"/>
          </w:tcPr>
          <w:p w:rsidR="00C747AE" w:rsidRPr="005E3A6C" w:rsidRDefault="00CB3C0A" w:rsidP="00AB6B1A">
            <w:pPr>
              <w:spacing w:after="120"/>
              <w:jc w:val="both"/>
              <w:rPr>
                <w:b/>
                <w:i/>
                <w:sz w:val="26"/>
                <w:szCs w:val="26"/>
              </w:rPr>
            </w:pPr>
            <w:r w:rsidRPr="005E3A6C">
              <w:rPr>
                <w:b/>
                <w:i/>
                <w:sz w:val="26"/>
                <w:szCs w:val="26"/>
              </w:rPr>
              <w:t>Difundir los derechos laborales a través de las respectivas redes consulares</w:t>
            </w:r>
          </w:p>
        </w:tc>
        <w:tc>
          <w:tcPr>
            <w:tcW w:w="4382" w:type="dxa"/>
          </w:tcPr>
          <w:p w:rsidR="00AB6B1A" w:rsidRDefault="005E3A6C" w:rsidP="00AB6B1A">
            <w:pPr>
              <w:spacing w:after="120"/>
              <w:jc w:val="both"/>
              <w:rPr>
                <w:i/>
                <w:sz w:val="26"/>
                <w:szCs w:val="26"/>
              </w:rPr>
            </w:pPr>
            <w:r>
              <w:rPr>
                <w:i/>
                <w:sz w:val="26"/>
                <w:szCs w:val="26"/>
              </w:rPr>
              <w:t>Envío de información desde las cancillerías</w:t>
            </w:r>
          </w:p>
        </w:tc>
        <w:tc>
          <w:tcPr>
            <w:tcW w:w="4382" w:type="dxa"/>
          </w:tcPr>
          <w:p w:rsidR="00AB6B1A" w:rsidRDefault="005E3A6C" w:rsidP="00AB6B1A">
            <w:pPr>
              <w:spacing w:after="120"/>
              <w:jc w:val="both"/>
              <w:rPr>
                <w:i/>
                <w:sz w:val="26"/>
                <w:szCs w:val="26"/>
              </w:rPr>
            </w:pPr>
            <w:r>
              <w:rPr>
                <w:i/>
                <w:sz w:val="26"/>
                <w:szCs w:val="26"/>
              </w:rPr>
              <w:t>Protocolos de atención desde las cancillería (instructivos)</w:t>
            </w:r>
          </w:p>
        </w:tc>
      </w:tr>
      <w:tr w:rsidR="00C747AE" w:rsidTr="004E2B42">
        <w:tc>
          <w:tcPr>
            <w:tcW w:w="4382" w:type="dxa"/>
          </w:tcPr>
          <w:p w:rsidR="00C747AE" w:rsidRPr="004A27FF" w:rsidRDefault="004A27FF" w:rsidP="004E2B42">
            <w:pPr>
              <w:spacing w:after="120"/>
              <w:jc w:val="both"/>
              <w:rPr>
                <w:b/>
                <w:i/>
                <w:sz w:val="26"/>
                <w:szCs w:val="26"/>
              </w:rPr>
            </w:pPr>
            <w:r w:rsidRPr="004A27FF">
              <w:rPr>
                <w:b/>
                <w:i/>
                <w:sz w:val="26"/>
                <w:szCs w:val="26"/>
              </w:rPr>
              <w:lastRenderedPageBreak/>
              <w:t>Implementación de políticas públicas para personas trabajadoras migrantes en las autoridades de cada país</w:t>
            </w:r>
          </w:p>
        </w:tc>
        <w:tc>
          <w:tcPr>
            <w:tcW w:w="4382" w:type="dxa"/>
          </w:tcPr>
          <w:p w:rsidR="00C747AE" w:rsidRDefault="004A27FF" w:rsidP="004E2B42">
            <w:pPr>
              <w:spacing w:after="120"/>
              <w:jc w:val="both"/>
              <w:rPr>
                <w:i/>
                <w:sz w:val="26"/>
                <w:szCs w:val="26"/>
              </w:rPr>
            </w:pPr>
            <w:r>
              <w:rPr>
                <w:i/>
                <w:sz w:val="26"/>
                <w:szCs w:val="26"/>
              </w:rPr>
              <w:t>Trabajo conjunto con las OSC de cada país</w:t>
            </w:r>
          </w:p>
        </w:tc>
        <w:tc>
          <w:tcPr>
            <w:tcW w:w="4382" w:type="dxa"/>
          </w:tcPr>
          <w:p w:rsidR="00C747AE" w:rsidRDefault="004A27FF" w:rsidP="004E2B42">
            <w:pPr>
              <w:spacing w:after="120"/>
              <w:jc w:val="both"/>
              <w:rPr>
                <w:i/>
                <w:sz w:val="26"/>
                <w:szCs w:val="26"/>
              </w:rPr>
            </w:pPr>
            <w:r>
              <w:rPr>
                <w:i/>
                <w:sz w:val="26"/>
                <w:szCs w:val="26"/>
              </w:rPr>
              <w:t>Trabajo interinstitucional para la formulación de las políticas públicas</w:t>
            </w:r>
          </w:p>
        </w:tc>
      </w:tr>
      <w:tr w:rsidR="006A5BBB" w:rsidTr="004E2B42">
        <w:tc>
          <w:tcPr>
            <w:tcW w:w="4382" w:type="dxa"/>
          </w:tcPr>
          <w:p w:rsidR="006A5BBB" w:rsidRPr="006A5BBB" w:rsidRDefault="006A5BBB" w:rsidP="004E2B42">
            <w:pPr>
              <w:spacing w:after="120"/>
              <w:jc w:val="both"/>
              <w:rPr>
                <w:b/>
                <w:i/>
                <w:sz w:val="26"/>
                <w:szCs w:val="26"/>
              </w:rPr>
            </w:pPr>
            <w:r w:rsidRPr="006A5BBB">
              <w:rPr>
                <w:b/>
                <w:i/>
                <w:sz w:val="26"/>
                <w:szCs w:val="26"/>
              </w:rPr>
              <w:t>Inclusión de perspectiva de género de las políticas públicas</w:t>
            </w:r>
            <w:r>
              <w:rPr>
                <w:b/>
                <w:i/>
                <w:sz w:val="26"/>
                <w:szCs w:val="26"/>
              </w:rPr>
              <w:t xml:space="preserve"> para las personas trabajadoras migrantes</w:t>
            </w:r>
          </w:p>
        </w:tc>
        <w:tc>
          <w:tcPr>
            <w:tcW w:w="4382" w:type="dxa"/>
          </w:tcPr>
          <w:p w:rsidR="006A5BBB" w:rsidRDefault="006A5BBB" w:rsidP="00846D22">
            <w:pPr>
              <w:spacing w:after="120"/>
              <w:jc w:val="both"/>
              <w:rPr>
                <w:i/>
                <w:sz w:val="26"/>
                <w:szCs w:val="26"/>
              </w:rPr>
            </w:pPr>
            <w:r>
              <w:rPr>
                <w:i/>
                <w:sz w:val="26"/>
                <w:szCs w:val="26"/>
              </w:rPr>
              <w:t>Trabajo conjunto con las OSC de cada país</w:t>
            </w:r>
          </w:p>
        </w:tc>
        <w:tc>
          <w:tcPr>
            <w:tcW w:w="4382" w:type="dxa"/>
          </w:tcPr>
          <w:p w:rsidR="006A5BBB" w:rsidRDefault="006A5BBB" w:rsidP="00846D22">
            <w:pPr>
              <w:spacing w:after="120"/>
              <w:jc w:val="both"/>
              <w:rPr>
                <w:i/>
                <w:sz w:val="26"/>
                <w:szCs w:val="26"/>
              </w:rPr>
            </w:pPr>
            <w:r>
              <w:rPr>
                <w:i/>
                <w:sz w:val="26"/>
                <w:szCs w:val="26"/>
              </w:rPr>
              <w:t>Trabajo interinstitucional para la formulación de las políticas públicas</w:t>
            </w:r>
          </w:p>
        </w:tc>
      </w:tr>
      <w:tr w:rsidR="006A5BBB" w:rsidTr="004E2B42">
        <w:tc>
          <w:tcPr>
            <w:tcW w:w="4382" w:type="dxa"/>
          </w:tcPr>
          <w:p w:rsidR="006A5BBB" w:rsidRPr="006A5BBB" w:rsidRDefault="006A5BBB" w:rsidP="004E2B42">
            <w:pPr>
              <w:spacing w:after="120"/>
              <w:jc w:val="both"/>
              <w:rPr>
                <w:b/>
                <w:i/>
                <w:sz w:val="26"/>
                <w:szCs w:val="26"/>
              </w:rPr>
            </w:pPr>
            <w:r w:rsidRPr="006A5BBB">
              <w:rPr>
                <w:b/>
                <w:i/>
                <w:sz w:val="26"/>
                <w:szCs w:val="26"/>
              </w:rPr>
              <w:t>Sistema Integral de Registro Laboral</w:t>
            </w:r>
          </w:p>
          <w:p w:rsidR="006A5BBB" w:rsidRPr="006A5BBB" w:rsidRDefault="006A5BBB" w:rsidP="004E2B42">
            <w:pPr>
              <w:spacing w:after="120"/>
              <w:jc w:val="both"/>
              <w:rPr>
                <w:b/>
                <w:i/>
                <w:sz w:val="26"/>
                <w:szCs w:val="26"/>
              </w:rPr>
            </w:pPr>
          </w:p>
        </w:tc>
        <w:tc>
          <w:tcPr>
            <w:tcW w:w="4382" w:type="dxa"/>
          </w:tcPr>
          <w:p w:rsidR="006A5BBB" w:rsidRDefault="006A5BBB" w:rsidP="004E2B42">
            <w:pPr>
              <w:spacing w:after="120"/>
              <w:jc w:val="both"/>
              <w:rPr>
                <w:i/>
                <w:sz w:val="26"/>
                <w:szCs w:val="26"/>
              </w:rPr>
            </w:pPr>
            <w:r>
              <w:rPr>
                <w:i/>
                <w:sz w:val="26"/>
                <w:szCs w:val="26"/>
              </w:rPr>
              <w:t>Creación de bases de datos y sistemas integrales informáticos</w:t>
            </w:r>
          </w:p>
        </w:tc>
        <w:tc>
          <w:tcPr>
            <w:tcW w:w="4382" w:type="dxa"/>
          </w:tcPr>
          <w:p w:rsidR="006A5BBB" w:rsidRDefault="006A5BBB" w:rsidP="004E2B42">
            <w:pPr>
              <w:spacing w:after="120"/>
              <w:jc w:val="both"/>
              <w:rPr>
                <w:i/>
                <w:sz w:val="26"/>
                <w:szCs w:val="26"/>
              </w:rPr>
            </w:pPr>
            <w:r>
              <w:rPr>
                <w:i/>
                <w:sz w:val="26"/>
                <w:szCs w:val="26"/>
              </w:rPr>
              <w:t xml:space="preserve">Homologar información con las institucionales nacionales </w:t>
            </w:r>
          </w:p>
        </w:tc>
      </w:tr>
      <w:tr w:rsidR="006A5BBB" w:rsidTr="004E2B42">
        <w:tc>
          <w:tcPr>
            <w:tcW w:w="4382" w:type="dxa"/>
          </w:tcPr>
          <w:p w:rsidR="006A5BBB" w:rsidRPr="006A5BBB" w:rsidRDefault="006A5BBB" w:rsidP="004E2B42">
            <w:pPr>
              <w:spacing w:after="120"/>
              <w:jc w:val="both"/>
              <w:rPr>
                <w:b/>
                <w:i/>
                <w:sz w:val="26"/>
                <w:szCs w:val="26"/>
              </w:rPr>
            </w:pPr>
            <w:r>
              <w:rPr>
                <w:b/>
                <w:i/>
                <w:sz w:val="26"/>
                <w:szCs w:val="26"/>
              </w:rPr>
              <w:t>Programa de personas trabajadoras migrantes retornada</w:t>
            </w:r>
            <w:r w:rsidRPr="006A5BBB">
              <w:rPr>
                <w:b/>
                <w:i/>
                <w:sz w:val="26"/>
                <w:szCs w:val="26"/>
              </w:rPr>
              <w:t>s</w:t>
            </w:r>
            <w:r>
              <w:rPr>
                <w:b/>
                <w:i/>
                <w:sz w:val="26"/>
                <w:szCs w:val="26"/>
              </w:rPr>
              <w:t xml:space="preserve"> para la reinserción social</w:t>
            </w:r>
          </w:p>
        </w:tc>
        <w:tc>
          <w:tcPr>
            <w:tcW w:w="4382" w:type="dxa"/>
          </w:tcPr>
          <w:p w:rsidR="006A5BBB" w:rsidRDefault="006A5BBB" w:rsidP="004E2B42">
            <w:pPr>
              <w:spacing w:after="120"/>
              <w:jc w:val="both"/>
              <w:rPr>
                <w:i/>
                <w:sz w:val="26"/>
                <w:szCs w:val="26"/>
              </w:rPr>
            </w:pPr>
            <w:r>
              <w:rPr>
                <w:i/>
                <w:sz w:val="26"/>
                <w:szCs w:val="26"/>
              </w:rPr>
              <w:t>Convenios bilaterales de países de origen y la OIM</w:t>
            </w:r>
          </w:p>
        </w:tc>
        <w:tc>
          <w:tcPr>
            <w:tcW w:w="4382" w:type="dxa"/>
          </w:tcPr>
          <w:p w:rsidR="006A5BBB" w:rsidRDefault="006A5BBB" w:rsidP="004E2B42">
            <w:pPr>
              <w:spacing w:after="120"/>
              <w:jc w:val="both"/>
              <w:rPr>
                <w:i/>
                <w:sz w:val="26"/>
                <w:szCs w:val="26"/>
              </w:rPr>
            </w:pPr>
            <w:r>
              <w:rPr>
                <w:i/>
                <w:sz w:val="26"/>
                <w:szCs w:val="26"/>
              </w:rPr>
              <w:t>Apoyo financiero y logístico con las organizaciones internacionales</w:t>
            </w:r>
          </w:p>
        </w:tc>
      </w:tr>
      <w:tr w:rsidR="006A5BBB" w:rsidTr="004E2B42">
        <w:tc>
          <w:tcPr>
            <w:tcW w:w="4382" w:type="dxa"/>
          </w:tcPr>
          <w:p w:rsidR="006A5BBB" w:rsidRDefault="006A5BBB" w:rsidP="004E2B42">
            <w:pPr>
              <w:spacing w:after="120"/>
              <w:jc w:val="both"/>
              <w:rPr>
                <w:i/>
                <w:sz w:val="26"/>
                <w:szCs w:val="26"/>
              </w:rPr>
            </w:pPr>
          </w:p>
        </w:tc>
        <w:tc>
          <w:tcPr>
            <w:tcW w:w="4382" w:type="dxa"/>
          </w:tcPr>
          <w:p w:rsidR="006A5BBB" w:rsidRDefault="006A5BBB" w:rsidP="004E2B42">
            <w:pPr>
              <w:spacing w:after="120"/>
              <w:jc w:val="both"/>
              <w:rPr>
                <w:i/>
                <w:sz w:val="26"/>
                <w:szCs w:val="26"/>
              </w:rPr>
            </w:pPr>
          </w:p>
        </w:tc>
        <w:tc>
          <w:tcPr>
            <w:tcW w:w="4382" w:type="dxa"/>
          </w:tcPr>
          <w:p w:rsidR="006A5BBB" w:rsidRDefault="006A5BBB" w:rsidP="004E2B42">
            <w:pPr>
              <w:spacing w:after="120"/>
              <w:jc w:val="both"/>
              <w:rPr>
                <w:i/>
                <w:sz w:val="26"/>
                <w:szCs w:val="26"/>
              </w:rPr>
            </w:pPr>
          </w:p>
        </w:tc>
      </w:tr>
      <w:tr w:rsidR="006A5BBB" w:rsidTr="00656102">
        <w:tc>
          <w:tcPr>
            <w:tcW w:w="4382" w:type="dxa"/>
          </w:tcPr>
          <w:p w:rsidR="006A5BBB" w:rsidRDefault="006A5BBB" w:rsidP="00E248AB">
            <w:pPr>
              <w:spacing w:after="120"/>
              <w:jc w:val="both"/>
              <w:rPr>
                <w:i/>
                <w:sz w:val="26"/>
                <w:szCs w:val="26"/>
              </w:rPr>
            </w:pPr>
          </w:p>
          <w:p w:rsidR="006A5BBB" w:rsidRDefault="006A5BBB" w:rsidP="00E248AB">
            <w:pPr>
              <w:spacing w:after="120"/>
              <w:jc w:val="both"/>
              <w:rPr>
                <w:i/>
                <w:sz w:val="26"/>
                <w:szCs w:val="26"/>
              </w:rPr>
            </w:pPr>
          </w:p>
        </w:tc>
        <w:tc>
          <w:tcPr>
            <w:tcW w:w="4382" w:type="dxa"/>
          </w:tcPr>
          <w:p w:rsidR="006A5BBB" w:rsidRDefault="006A5BBB" w:rsidP="00E248AB">
            <w:pPr>
              <w:spacing w:after="120"/>
              <w:jc w:val="both"/>
              <w:rPr>
                <w:i/>
                <w:sz w:val="26"/>
                <w:szCs w:val="26"/>
              </w:rPr>
            </w:pPr>
          </w:p>
        </w:tc>
        <w:tc>
          <w:tcPr>
            <w:tcW w:w="4382" w:type="dxa"/>
          </w:tcPr>
          <w:p w:rsidR="006A5BBB" w:rsidRDefault="006A5BBB" w:rsidP="00E248AB">
            <w:pPr>
              <w:spacing w:after="120"/>
              <w:jc w:val="both"/>
              <w:rPr>
                <w:i/>
                <w:sz w:val="26"/>
                <w:szCs w:val="26"/>
              </w:rPr>
            </w:pPr>
          </w:p>
        </w:tc>
      </w:tr>
      <w:tr w:rsidR="006A5BBB" w:rsidTr="00656102">
        <w:tc>
          <w:tcPr>
            <w:tcW w:w="4382" w:type="dxa"/>
          </w:tcPr>
          <w:p w:rsidR="006A5BBB" w:rsidRDefault="006A5BBB" w:rsidP="00E248AB">
            <w:pPr>
              <w:spacing w:after="120"/>
              <w:jc w:val="both"/>
              <w:rPr>
                <w:i/>
                <w:sz w:val="26"/>
                <w:szCs w:val="26"/>
              </w:rPr>
            </w:pPr>
          </w:p>
          <w:p w:rsidR="006A5BBB" w:rsidRDefault="006A5BBB" w:rsidP="00E248AB">
            <w:pPr>
              <w:spacing w:after="120"/>
              <w:jc w:val="both"/>
              <w:rPr>
                <w:i/>
                <w:sz w:val="26"/>
                <w:szCs w:val="26"/>
              </w:rPr>
            </w:pPr>
          </w:p>
        </w:tc>
        <w:tc>
          <w:tcPr>
            <w:tcW w:w="4382" w:type="dxa"/>
          </w:tcPr>
          <w:p w:rsidR="006A5BBB" w:rsidRDefault="006A5BBB" w:rsidP="00E248AB">
            <w:pPr>
              <w:spacing w:after="120"/>
              <w:jc w:val="both"/>
              <w:rPr>
                <w:i/>
                <w:sz w:val="26"/>
                <w:szCs w:val="26"/>
              </w:rPr>
            </w:pPr>
          </w:p>
        </w:tc>
        <w:tc>
          <w:tcPr>
            <w:tcW w:w="4382" w:type="dxa"/>
          </w:tcPr>
          <w:p w:rsidR="006A5BBB" w:rsidRDefault="006A5BBB" w:rsidP="00E248AB">
            <w:pPr>
              <w:spacing w:after="120"/>
              <w:jc w:val="both"/>
              <w:rPr>
                <w:i/>
                <w:sz w:val="26"/>
                <w:szCs w:val="26"/>
              </w:rPr>
            </w:pPr>
          </w:p>
        </w:tc>
      </w:tr>
    </w:tbl>
    <w:p w:rsidR="0031465D" w:rsidRDefault="0031465D" w:rsidP="00AB6B1A">
      <w:pPr>
        <w:spacing w:after="120" w:line="240" w:lineRule="auto"/>
        <w:jc w:val="both"/>
        <w:rPr>
          <w:i/>
          <w:sz w:val="26"/>
          <w:szCs w:val="2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6"/>
        <w:gridCol w:w="2776"/>
        <w:gridCol w:w="511"/>
        <w:gridCol w:w="481"/>
        <w:gridCol w:w="2806"/>
        <w:gridCol w:w="3287"/>
      </w:tblGrid>
      <w:tr w:rsidR="00656102" w:rsidTr="0031465D">
        <w:tc>
          <w:tcPr>
            <w:tcW w:w="13147" w:type="dxa"/>
            <w:gridSpan w:val="6"/>
          </w:tcPr>
          <w:p w:rsidR="00656102" w:rsidRPr="00656102" w:rsidRDefault="00656102" w:rsidP="00656102">
            <w:pPr>
              <w:spacing w:after="120"/>
              <w:jc w:val="center"/>
              <w:rPr>
                <w:b/>
                <w:i/>
                <w:sz w:val="32"/>
                <w:szCs w:val="32"/>
              </w:rPr>
            </w:pPr>
            <w:r w:rsidRPr="00656102">
              <w:rPr>
                <w:b/>
                <w:i/>
                <w:sz w:val="32"/>
                <w:szCs w:val="32"/>
              </w:rPr>
              <w:t>GRUPOS</w:t>
            </w:r>
          </w:p>
        </w:tc>
      </w:tr>
      <w:tr w:rsidR="00656102" w:rsidTr="0031465D">
        <w:tc>
          <w:tcPr>
            <w:tcW w:w="3286" w:type="dxa"/>
          </w:tcPr>
          <w:p w:rsidR="00656102" w:rsidRPr="00656102" w:rsidRDefault="00656102" w:rsidP="0031465D">
            <w:pPr>
              <w:spacing w:after="120"/>
              <w:rPr>
                <w:b/>
                <w:i/>
                <w:sz w:val="26"/>
                <w:szCs w:val="26"/>
              </w:rPr>
            </w:pPr>
            <w:r w:rsidRPr="00656102">
              <w:rPr>
                <w:b/>
                <w:i/>
                <w:sz w:val="26"/>
                <w:szCs w:val="26"/>
              </w:rPr>
              <w:t>GRUPO 1</w:t>
            </w:r>
          </w:p>
        </w:tc>
        <w:tc>
          <w:tcPr>
            <w:tcW w:w="3287" w:type="dxa"/>
            <w:gridSpan w:val="2"/>
          </w:tcPr>
          <w:p w:rsidR="00656102" w:rsidRPr="00656102" w:rsidRDefault="00656102" w:rsidP="0031465D">
            <w:pPr>
              <w:spacing w:after="120"/>
              <w:rPr>
                <w:b/>
                <w:i/>
                <w:sz w:val="26"/>
                <w:szCs w:val="26"/>
              </w:rPr>
            </w:pPr>
            <w:r w:rsidRPr="00656102">
              <w:rPr>
                <w:b/>
                <w:i/>
                <w:sz w:val="26"/>
                <w:szCs w:val="26"/>
              </w:rPr>
              <w:t>GRUPO 2</w:t>
            </w:r>
          </w:p>
        </w:tc>
        <w:tc>
          <w:tcPr>
            <w:tcW w:w="3287" w:type="dxa"/>
            <w:gridSpan w:val="2"/>
          </w:tcPr>
          <w:p w:rsidR="00656102" w:rsidRPr="00656102" w:rsidRDefault="00656102" w:rsidP="0031465D">
            <w:pPr>
              <w:spacing w:after="120"/>
              <w:rPr>
                <w:b/>
                <w:i/>
                <w:sz w:val="26"/>
                <w:szCs w:val="26"/>
              </w:rPr>
            </w:pPr>
            <w:r w:rsidRPr="00656102">
              <w:rPr>
                <w:b/>
                <w:i/>
                <w:sz w:val="26"/>
                <w:szCs w:val="26"/>
              </w:rPr>
              <w:t>GRUPO 3</w:t>
            </w:r>
          </w:p>
        </w:tc>
        <w:tc>
          <w:tcPr>
            <w:tcW w:w="3287" w:type="dxa"/>
          </w:tcPr>
          <w:p w:rsidR="00656102" w:rsidRPr="00656102" w:rsidRDefault="00656102" w:rsidP="0031465D">
            <w:pPr>
              <w:spacing w:after="120"/>
              <w:rPr>
                <w:b/>
                <w:i/>
                <w:sz w:val="26"/>
                <w:szCs w:val="26"/>
              </w:rPr>
            </w:pPr>
          </w:p>
        </w:tc>
      </w:tr>
      <w:tr w:rsidR="00656102" w:rsidTr="0031465D">
        <w:tc>
          <w:tcPr>
            <w:tcW w:w="3286" w:type="dxa"/>
          </w:tcPr>
          <w:p w:rsidR="00656102" w:rsidRDefault="00656102" w:rsidP="00AB6B1A">
            <w:pPr>
              <w:spacing w:after="120"/>
              <w:jc w:val="both"/>
              <w:rPr>
                <w:i/>
                <w:sz w:val="26"/>
                <w:szCs w:val="26"/>
              </w:rPr>
            </w:pPr>
            <w:r>
              <w:rPr>
                <w:i/>
                <w:sz w:val="26"/>
                <w:szCs w:val="26"/>
              </w:rPr>
              <w:t>El Salvador</w:t>
            </w:r>
          </w:p>
        </w:tc>
        <w:tc>
          <w:tcPr>
            <w:tcW w:w="3287" w:type="dxa"/>
            <w:gridSpan w:val="2"/>
          </w:tcPr>
          <w:p w:rsidR="00656102" w:rsidRDefault="00656102" w:rsidP="00AB6B1A">
            <w:pPr>
              <w:spacing w:after="120"/>
              <w:jc w:val="both"/>
              <w:rPr>
                <w:i/>
                <w:sz w:val="26"/>
                <w:szCs w:val="26"/>
              </w:rPr>
            </w:pPr>
            <w:r>
              <w:rPr>
                <w:i/>
                <w:sz w:val="26"/>
                <w:szCs w:val="26"/>
              </w:rPr>
              <w:t>Honduras</w:t>
            </w:r>
          </w:p>
        </w:tc>
        <w:tc>
          <w:tcPr>
            <w:tcW w:w="3287" w:type="dxa"/>
            <w:gridSpan w:val="2"/>
          </w:tcPr>
          <w:p w:rsidR="00656102" w:rsidRDefault="00656102" w:rsidP="00AB6B1A">
            <w:pPr>
              <w:spacing w:after="120"/>
              <w:jc w:val="both"/>
              <w:rPr>
                <w:i/>
                <w:sz w:val="26"/>
                <w:szCs w:val="26"/>
              </w:rPr>
            </w:pPr>
            <w:r>
              <w:rPr>
                <w:i/>
                <w:sz w:val="26"/>
                <w:szCs w:val="26"/>
              </w:rPr>
              <w:t>Guatemala</w:t>
            </w:r>
          </w:p>
        </w:tc>
        <w:tc>
          <w:tcPr>
            <w:tcW w:w="3287" w:type="dxa"/>
          </w:tcPr>
          <w:p w:rsidR="00656102" w:rsidRDefault="00656102" w:rsidP="00AB6B1A">
            <w:pPr>
              <w:spacing w:after="120"/>
              <w:jc w:val="both"/>
              <w:rPr>
                <w:i/>
                <w:sz w:val="26"/>
                <w:szCs w:val="26"/>
              </w:rPr>
            </w:pPr>
          </w:p>
        </w:tc>
      </w:tr>
      <w:tr w:rsidR="00656102" w:rsidTr="0031465D">
        <w:tc>
          <w:tcPr>
            <w:tcW w:w="3286" w:type="dxa"/>
          </w:tcPr>
          <w:p w:rsidR="00656102" w:rsidRDefault="00656102" w:rsidP="00AB6B1A">
            <w:pPr>
              <w:spacing w:after="120"/>
              <w:jc w:val="both"/>
              <w:rPr>
                <w:i/>
                <w:sz w:val="26"/>
                <w:szCs w:val="26"/>
              </w:rPr>
            </w:pPr>
            <w:r>
              <w:rPr>
                <w:i/>
                <w:sz w:val="26"/>
                <w:szCs w:val="26"/>
              </w:rPr>
              <w:t>Nicaragua</w:t>
            </w:r>
          </w:p>
        </w:tc>
        <w:tc>
          <w:tcPr>
            <w:tcW w:w="3287" w:type="dxa"/>
            <w:gridSpan w:val="2"/>
          </w:tcPr>
          <w:p w:rsidR="00656102" w:rsidRDefault="00656102" w:rsidP="00AB6B1A">
            <w:pPr>
              <w:spacing w:after="120"/>
              <w:jc w:val="both"/>
              <w:rPr>
                <w:i/>
                <w:sz w:val="26"/>
                <w:szCs w:val="26"/>
              </w:rPr>
            </w:pPr>
            <w:r>
              <w:rPr>
                <w:i/>
                <w:sz w:val="26"/>
                <w:szCs w:val="26"/>
              </w:rPr>
              <w:t>México</w:t>
            </w:r>
          </w:p>
        </w:tc>
        <w:tc>
          <w:tcPr>
            <w:tcW w:w="3287" w:type="dxa"/>
            <w:gridSpan w:val="2"/>
          </w:tcPr>
          <w:p w:rsidR="00656102" w:rsidRDefault="00133625" w:rsidP="00AB6B1A">
            <w:pPr>
              <w:spacing w:after="120"/>
              <w:jc w:val="both"/>
              <w:rPr>
                <w:i/>
                <w:sz w:val="26"/>
                <w:szCs w:val="26"/>
              </w:rPr>
            </w:pPr>
            <w:r>
              <w:rPr>
                <w:i/>
                <w:sz w:val="26"/>
                <w:szCs w:val="26"/>
              </w:rPr>
              <w:t>Costa Rica</w:t>
            </w:r>
          </w:p>
        </w:tc>
        <w:tc>
          <w:tcPr>
            <w:tcW w:w="3287" w:type="dxa"/>
          </w:tcPr>
          <w:p w:rsidR="00656102" w:rsidRDefault="00656102" w:rsidP="00AB6B1A">
            <w:pPr>
              <w:spacing w:after="120"/>
              <w:jc w:val="both"/>
              <w:rPr>
                <w:i/>
                <w:sz w:val="26"/>
                <w:szCs w:val="26"/>
              </w:rPr>
            </w:pPr>
          </w:p>
        </w:tc>
      </w:tr>
      <w:tr w:rsidR="00656102" w:rsidTr="0031465D">
        <w:tc>
          <w:tcPr>
            <w:tcW w:w="3286" w:type="dxa"/>
          </w:tcPr>
          <w:p w:rsidR="00133625" w:rsidRDefault="00656102" w:rsidP="00AB6B1A">
            <w:pPr>
              <w:spacing w:after="120"/>
              <w:jc w:val="both"/>
              <w:rPr>
                <w:i/>
                <w:sz w:val="26"/>
                <w:szCs w:val="26"/>
              </w:rPr>
            </w:pPr>
            <w:r>
              <w:rPr>
                <w:i/>
                <w:sz w:val="26"/>
                <w:szCs w:val="26"/>
              </w:rPr>
              <w:lastRenderedPageBreak/>
              <w:t>Panamá</w:t>
            </w:r>
          </w:p>
        </w:tc>
        <w:tc>
          <w:tcPr>
            <w:tcW w:w="3287" w:type="dxa"/>
            <w:gridSpan w:val="2"/>
          </w:tcPr>
          <w:p w:rsidR="00656102" w:rsidRDefault="00133625" w:rsidP="00AB6B1A">
            <w:pPr>
              <w:spacing w:after="120"/>
              <w:jc w:val="both"/>
              <w:rPr>
                <w:i/>
                <w:sz w:val="26"/>
                <w:szCs w:val="26"/>
              </w:rPr>
            </w:pPr>
            <w:r>
              <w:rPr>
                <w:i/>
                <w:sz w:val="26"/>
                <w:szCs w:val="26"/>
              </w:rPr>
              <w:t>Belice</w:t>
            </w:r>
          </w:p>
        </w:tc>
        <w:tc>
          <w:tcPr>
            <w:tcW w:w="3287" w:type="dxa"/>
            <w:gridSpan w:val="2"/>
          </w:tcPr>
          <w:p w:rsidR="00656102" w:rsidRDefault="00133625" w:rsidP="00AB6B1A">
            <w:pPr>
              <w:spacing w:after="120"/>
              <w:jc w:val="both"/>
              <w:rPr>
                <w:i/>
                <w:sz w:val="26"/>
                <w:szCs w:val="26"/>
              </w:rPr>
            </w:pPr>
            <w:r>
              <w:rPr>
                <w:i/>
                <w:sz w:val="26"/>
                <w:szCs w:val="26"/>
              </w:rPr>
              <w:t>República Dominicana</w:t>
            </w:r>
          </w:p>
        </w:tc>
        <w:tc>
          <w:tcPr>
            <w:tcW w:w="3287" w:type="dxa"/>
          </w:tcPr>
          <w:p w:rsidR="00656102" w:rsidRDefault="00656102" w:rsidP="00AB6B1A">
            <w:pPr>
              <w:spacing w:after="120"/>
              <w:jc w:val="both"/>
              <w:rPr>
                <w:i/>
                <w:sz w:val="26"/>
                <w:szCs w:val="26"/>
              </w:rPr>
            </w:pPr>
          </w:p>
        </w:tc>
      </w:tr>
      <w:tr w:rsidR="00E1756E" w:rsidTr="00656102">
        <w:tc>
          <w:tcPr>
            <w:tcW w:w="6062" w:type="dxa"/>
            <w:gridSpan w:val="2"/>
          </w:tcPr>
          <w:p w:rsidR="00E1756E" w:rsidRPr="00133625" w:rsidRDefault="00133625" w:rsidP="00E1756E">
            <w:pPr>
              <w:rPr>
                <w:rFonts w:asciiTheme="minorHAnsi" w:hAnsiTheme="minorHAnsi" w:cs="Arial"/>
                <w:i/>
                <w:sz w:val="28"/>
                <w:szCs w:val="28"/>
              </w:rPr>
            </w:pPr>
            <w:r w:rsidRPr="00133625">
              <w:rPr>
                <w:rFonts w:asciiTheme="minorHAnsi" w:hAnsiTheme="minorHAnsi" w:cs="Arial"/>
                <w:i/>
                <w:szCs w:val="28"/>
              </w:rPr>
              <w:t>USA</w:t>
            </w:r>
          </w:p>
        </w:tc>
        <w:tc>
          <w:tcPr>
            <w:tcW w:w="992" w:type="dxa"/>
            <w:gridSpan w:val="2"/>
          </w:tcPr>
          <w:p w:rsidR="00E1756E" w:rsidRDefault="00E1756E" w:rsidP="00E1756E">
            <w:pPr>
              <w:rPr>
                <w:rFonts w:ascii="Arial Black" w:hAnsi="Arial Black"/>
                <w:sz w:val="28"/>
                <w:szCs w:val="28"/>
              </w:rPr>
            </w:pPr>
          </w:p>
        </w:tc>
        <w:tc>
          <w:tcPr>
            <w:tcW w:w="6093" w:type="dxa"/>
            <w:gridSpan w:val="2"/>
          </w:tcPr>
          <w:p w:rsidR="00E1756E" w:rsidRDefault="00E1756E" w:rsidP="00E1756E">
            <w:pPr>
              <w:rPr>
                <w:rFonts w:ascii="Arial Black" w:hAnsi="Arial Black"/>
                <w:sz w:val="28"/>
                <w:szCs w:val="28"/>
              </w:rPr>
            </w:pPr>
          </w:p>
        </w:tc>
      </w:tr>
      <w:tr w:rsidR="00E1756E" w:rsidTr="00656102">
        <w:tc>
          <w:tcPr>
            <w:tcW w:w="6062" w:type="dxa"/>
            <w:gridSpan w:val="2"/>
          </w:tcPr>
          <w:p w:rsidR="00E1756E" w:rsidRDefault="00E1756E" w:rsidP="00E1756E">
            <w:pPr>
              <w:rPr>
                <w:rFonts w:ascii="Arial Black" w:hAnsi="Arial Black"/>
                <w:sz w:val="28"/>
                <w:szCs w:val="28"/>
              </w:rPr>
            </w:pPr>
          </w:p>
        </w:tc>
        <w:tc>
          <w:tcPr>
            <w:tcW w:w="992" w:type="dxa"/>
            <w:gridSpan w:val="2"/>
          </w:tcPr>
          <w:p w:rsidR="00E1756E" w:rsidRDefault="00E1756E" w:rsidP="00E1756E">
            <w:pPr>
              <w:rPr>
                <w:rFonts w:ascii="Arial Black" w:hAnsi="Arial Black"/>
                <w:sz w:val="28"/>
                <w:szCs w:val="28"/>
              </w:rPr>
            </w:pPr>
          </w:p>
        </w:tc>
        <w:tc>
          <w:tcPr>
            <w:tcW w:w="6093" w:type="dxa"/>
            <w:gridSpan w:val="2"/>
          </w:tcPr>
          <w:p w:rsidR="00E1756E" w:rsidRDefault="00E1756E" w:rsidP="00E1756E">
            <w:pPr>
              <w:rPr>
                <w:rFonts w:ascii="Arial Black" w:hAnsi="Arial Black"/>
                <w:sz w:val="28"/>
                <w:szCs w:val="28"/>
              </w:rPr>
            </w:pPr>
          </w:p>
        </w:tc>
      </w:tr>
      <w:tr w:rsidR="00E1756E" w:rsidTr="00656102">
        <w:tc>
          <w:tcPr>
            <w:tcW w:w="6062" w:type="dxa"/>
            <w:gridSpan w:val="2"/>
          </w:tcPr>
          <w:p w:rsidR="00E1756E" w:rsidRDefault="00E1756E" w:rsidP="00E1756E">
            <w:pPr>
              <w:rPr>
                <w:rFonts w:ascii="Arial Black" w:hAnsi="Arial Black"/>
                <w:sz w:val="28"/>
                <w:szCs w:val="28"/>
              </w:rPr>
            </w:pPr>
          </w:p>
        </w:tc>
        <w:tc>
          <w:tcPr>
            <w:tcW w:w="992" w:type="dxa"/>
            <w:gridSpan w:val="2"/>
          </w:tcPr>
          <w:p w:rsidR="00E1756E" w:rsidRDefault="00E1756E" w:rsidP="00E1756E">
            <w:pPr>
              <w:rPr>
                <w:rFonts w:ascii="Arial Black" w:hAnsi="Arial Black"/>
                <w:sz w:val="28"/>
                <w:szCs w:val="28"/>
              </w:rPr>
            </w:pPr>
          </w:p>
        </w:tc>
        <w:tc>
          <w:tcPr>
            <w:tcW w:w="6093" w:type="dxa"/>
            <w:gridSpan w:val="2"/>
          </w:tcPr>
          <w:p w:rsidR="00E1756E" w:rsidRDefault="00E1756E" w:rsidP="00E1756E">
            <w:pPr>
              <w:rPr>
                <w:rFonts w:ascii="Arial Black" w:hAnsi="Arial Black"/>
                <w:sz w:val="28"/>
                <w:szCs w:val="28"/>
              </w:rPr>
            </w:pPr>
            <w:bookmarkStart w:id="0" w:name="_GoBack"/>
            <w:bookmarkEnd w:id="0"/>
          </w:p>
        </w:tc>
      </w:tr>
      <w:tr w:rsidR="00E1756E" w:rsidTr="00656102">
        <w:tc>
          <w:tcPr>
            <w:tcW w:w="6062" w:type="dxa"/>
            <w:gridSpan w:val="2"/>
          </w:tcPr>
          <w:p w:rsidR="00E1756E" w:rsidRDefault="00E1756E" w:rsidP="00E1756E">
            <w:pPr>
              <w:rPr>
                <w:rFonts w:ascii="Arial Black" w:hAnsi="Arial Black"/>
                <w:sz w:val="28"/>
                <w:szCs w:val="28"/>
              </w:rPr>
            </w:pPr>
          </w:p>
        </w:tc>
        <w:tc>
          <w:tcPr>
            <w:tcW w:w="992" w:type="dxa"/>
            <w:gridSpan w:val="2"/>
          </w:tcPr>
          <w:p w:rsidR="00E1756E" w:rsidRDefault="00E1756E" w:rsidP="00E1756E">
            <w:pPr>
              <w:rPr>
                <w:rFonts w:ascii="Arial Black" w:hAnsi="Arial Black"/>
                <w:sz w:val="28"/>
                <w:szCs w:val="28"/>
              </w:rPr>
            </w:pPr>
          </w:p>
        </w:tc>
        <w:tc>
          <w:tcPr>
            <w:tcW w:w="6093" w:type="dxa"/>
            <w:gridSpan w:val="2"/>
          </w:tcPr>
          <w:p w:rsidR="00E1756E" w:rsidRDefault="00E1756E" w:rsidP="00E1756E">
            <w:pPr>
              <w:rPr>
                <w:rFonts w:ascii="Arial Black" w:hAnsi="Arial Black"/>
                <w:sz w:val="28"/>
                <w:szCs w:val="28"/>
              </w:rPr>
            </w:pPr>
          </w:p>
        </w:tc>
      </w:tr>
    </w:tbl>
    <w:p w:rsidR="00E1756E" w:rsidRDefault="00E1756E" w:rsidP="00E1756E">
      <w:pPr>
        <w:rPr>
          <w:rFonts w:ascii="Arial Black" w:hAnsi="Arial Black"/>
          <w:sz w:val="28"/>
          <w:szCs w:val="28"/>
        </w:rPr>
      </w:pPr>
    </w:p>
    <w:sectPr w:rsidR="00E1756E" w:rsidSect="00AB6B1A">
      <w:headerReference w:type="default" r:id="rId6"/>
      <w:pgSz w:w="15840" w:h="12240" w:orient="landscape"/>
      <w:pgMar w:top="1701" w:right="1417" w:bottom="170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426" w:rsidRDefault="00395426" w:rsidP="00A05656">
      <w:pPr>
        <w:spacing w:after="0" w:line="240" w:lineRule="auto"/>
      </w:pPr>
      <w:r>
        <w:separator/>
      </w:r>
    </w:p>
  </w:endnote>
  <w:endnote w:type="continuationSeparator" w:id="0">
    <w:p w:rsidR="00395426" w:rsidRDefault="00395426" w:rsidP="00A056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ヒラギノ角ゴ Pro W3">
    <w:altName w:val="Times New Roman"/>
    <w:charset w:val="00"/>
    <w:family w:val="roman"/>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alibri Bold">
    <w:panose1 w:val="020F0702030404030204"/>
    <w:charset w:val="00"/>
    <w:family w:val="roman"/>
    <w:pitch w:val="default"/>
    <w:sig w:usb0="00000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426" w:rsidRDefault="00395426" w:rsidP="00A05656">
      <w:pPr>
        <w:spacing w:after="0" w:line="240" w:lineRule="auto"/>
      </w:pPr>
      <w:r>
        <w:separator/>
      </w:r>
    </w:p>
  </w:footnote>
  <w:footnote w:type="continuationSeparator" w:id="0">
    <w:p w:rsidR="00395426" w:rsidRDefault="00395426" w:rsidP="00A056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656" w:rsidRDefault="00A05656">
    <w:pPr>
      <w:pStyle w:val="Encabezado"/>
    </w:pPr>
    <w:r>
      <w:rPr>
        <w:noProof/>
        <w:lang w:val="en-US"/>
      </w:rPr>
      <w:drawing>
        <wp:anchor distT="0" distB="0" distL="114300" distR="114300" simplePos="0" relativeHeight="251659264" behindDoc="1" locked="0" layoutInCell="1" allowOverlap="1">
          <wp:simplePos x="0" y="0"/>
          <wp:positionH relativeFrom="column">
            <wp:posOffset>7329805</wp:posOffset>
          </wp:positionH>
          <wp:positionV relativeFrom="paragraph">
            <wp:posOffset>-189230</wp:posOffset>
          </wp:positionV>
          <wp:extent cx="868045" cy="482600"/>
          <wp:effectExtent l="19050" t="0" r="8255" b="0"/>
          <wp:wrapThrough wrapText="bothSides">
            <wp:wrapPolygon edited="0">
              <wp:start x="-474" y="0"/>
              <wp:lineTo x="-474" y="20463"/>
              <wp:lineTo x="21805" y="20463"/>
              <wp:lineTo x="21805" y="0"/>
              <wp:lineTo x="-474" y="0"/>
            </wp:wrapPolygon>
          </wp:wrapThrough>
          <wp:docPr id="2" name="Imagen 1" descr="C:\Users\mlheureux\AppData\Local\Microsoft\Windows\Temporary Internet Files\Content.Outlook\IP8QZI8A\flagge-hondur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mlheureux\AppData\Local\Microsoft\Windows\Temporary Internet Files\Content.Outlook\IP8QZI8A\flagge-honduras.gif"/>
                  <pic:cNvPicPr>
                    <a:picLocks noChangeAspect="1" noChangeArrowheads="1"/>
                  </pic:cNvPicPr>
                </pic:nvPicPr>
                <pic:blipFill>
                  <a:blip r:embed="rId1"/>
                  <a:srcRect/>
                  <a:stretch>
                    <a:fillRect/>
                  </a:stretch>
                </pic:blipFill>
                <pic:spPr bwMode="auto">
                  <a:xfrm>
                    <a:off x="0" y="0"/>
                    <a:ext cx="868045" cy="482600"/>
                  </a:xfrm>
                  <a:prstGeom prst="rect">
                    <a:avLst/>
                  </a:prstGeom>
                  <a:noFill/>
                  <a:ln w="9525">
                    <a:noFill/>
                    <a:miter lim="800000"/>
                    <a:headEnd/>
                    <a:tailEnd/>
                  </a:ln>
                </pic:spPr>
              </pic:pic>
            </a:graphicData>
          </a:graphic>
        </wp:anchor>
      </w:drawing>
    </w:r>
    <w:r>
      <w:rPr>
        <w:noProof/>
        <w:lang w:val="en-US"/>
      </w:rPr>
      <w:drawing>
        <wp:anchor distT="0" distB="0" distL="114300" distR="114300" simplePos="0" relativeHeight="251658240" behindDoc="0" locked="0" layoutInCell="1" allowOverlap="1">
          <wp:simplePos x="0" y="0"/>
          <wp:positionH relativeFrom="column">
            <wp:posOffset>-362585</wp:posOffset>
          </wp:positionH>
          <wp:positionV relativeFrom="paragraph">
            <wp:posOffset>-271780</wp:posOffset>
          </wp:positionV>
          <wp:extent cx="2171700" cy="679450"/>
          <wp:effectExtent l="19050" t="0" r="0" b="0"/>
          <wp:wrapNone/>
          <wp:docPr id="1" name="Imagen 1" descr="CR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RM Logo"/>
                  <pic:cNvPicPr>
                    <a:picLocks noChangeAspect="1" noChangeArrowheads="1"/>
                  </pic:cNvPicPr>
                </pic:nvPicPr>
                <pic:blipFill>
                  <a:blip r:embed="rId2"/>
                  <a:srcRect/>
                  <a:stretch>
                    <a:fillRect/>
                  </a:stretch>
                </pic:blipFill>
                <pic:spPr bwMode="auto">
                  <a:xfrm>
                    <a:off x="0" y="0"/>
                    <a:ext cx="2171700" cy="679450"/>
                  </a:xfrm>
                  <a:prstGeom prst="rect">
                    <a:avLst/>
                  </a:prstGeom>
                  <a:noFill/>
                </pic:spPr>
              </pic:pic>
            </a:graphicData>
          </a:graphic>
        </wp:anchor>
      </w:drawing>
    </w:r>
    <w:r>
      <w:ptab w:relativeTo="margin" w:alignment="center" w:leader="none"/>
    </w:r>
    <w:r>
      <w:ptab w:relativeTo="margin" w:alignment="right" w:leader="none"/>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A05656"/>
    <w:rsid w:val="00086A76"/>
    <w:rsid w:val="00133625"/>
    <w:rsid w:val="00156460"/>
    <w:rsid w:val="002C0981"/>
    <w:rsid w:val="0031465D"/>
    <w:rsid w:val="00395426"/>
    <w:rsid w:val="003B6EDB"/>
    <w:rsid w:val="004A27FF"/>
    <w:rsid w:val="005E3A6C"/>
    <w:rsid w:val="00656102"/>
    <w:rsid w:val="006A5BBB"/>
    <w:rsid w:val="006F04D3"/>
    <w:rsid w:val="007D5277"/>
    <w:rsid w:val="009C32B3"/>
    <w:rsid w:val="00A05656"/>
    <w:rsid w:val="00A24F17"/>
    <w:rsid w:val="00AB6B1A"/>
    <w:rsid w:val="00B75F4A"/>
    <w:rsid w:val="00C747AE"/>
    <w:rsid w:val="00CB3C0A"/>
    <w:rsid w:val="00DF04CD"/>
    <w:rsid w:val="00E1756E"/>
  </w:rsids>
  <m:mathPr>
    <m:mathFont m:val="Cambria Math"/>
    <m:brkBin m:val="before"/>
    <m:brkBinSub m:val="--"/>
    <m:smallFrac m:val="off"/>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656"/>
    <w:rPr>
      <w:rFonts w:ascii="Calibri" w:eastAsia="ヒラギノ角ゴ Pro W3" w:hAnsi="Calibri" w:cs="Times New Roman"/>
      <w:color w:val="000000"/>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A05656"/>
    <w:pPr>
      <w:tabs>
        <w:tab w:val="center" w:pos="4419"/>
        <w:tab w:val="right" w:pos="8838"/>
      </w:tabs>
      <w:spacing w:after="0" w:line="240" w:lineRule="auto"/>
    </w:pPr>
    <w:rPr>
      <w:rFonts w:asciiTheme="minorHAnsi" w:eastAsiaTheme="minorHAnsi" w:hAnsiTheme="minorHAnsi" w:cstheme="minorBidi"/>
      <w:color w:val="auto"/>
      <w:szCs w:val="22"/>
      <w:lang w:val="es-SV"/>
    </w:rPr>
  </w:style>
  <w:style w:type="character" w:customStyle="1" w:styleId="EncabezadoCar">
    <w:name w:val="Encabezado Car"/>
    <w:basedOn w:val="Fuentedeprrafopredeter"/>
    <w:link w:val="Encabezado"/>
    <w:uiPriority w:val="99"/>
    <w:semiHidden/>
    <w:rsid w:val="00A05656"/>
  </w:style>
  <w:style w:type="paragraph" w:styleId="Piedepgina">
    <w:name w:val="footer"/>
    <w:basedOn w:val="Normal"/>
    <w:link w:val="PiedepginaCar"/>
    <w:uiPriority w:val="99"/>
    <w:semiHidden/>
    <w:unhideWhenUsed/>
    <w:rsid w:val="00A05656"/>
    <w:pPr>
      <w:tabs>
        <w:tab w:val="center" w:pos="4419"/>
        <w:tab w:val="right" w:pos="8838"/>
      </w:tabs>
      <w:spacing w:after="0" w:line="240" w:lineRule="auto"/>
    </w:pPr>
    <w:rPr>
      <w:rFonts w:asciiTheme="minorHAnsi" w:eastAsiaTheme="minorHAnsi" w:hAnsiTheme="minorHAnsi" w:cstheme="minorBidi"/>
      <w:color w:val="auto"/>
      <w:szCs w:val="22"/>
      <w:lang w:val="es-SV"/>
    </w:rPr>
  </w:style>
  <w:style w:type="character" w:customStyle="1" w:styleId="PiedepginaCar">
    <w:name w:val="Pie de página Car"/>
    <w:basedOn w:val="Fuentedeprrafopredeter"/>
    <w:link w:val="Piedepgina"/>
    <w:uiPriority w:val="99"/>
    <w:semiHidden/>
    <w:rsid w:val="00A05656"/>
  </w:style>
  <w:style w:type="paragraph" w:styleId="Textodeglobo">
    <w:name w:val="Balloon Text"/>
    <w:basedOn w:val="Normal"/>
    <w:link w:val="TextodegloboCar"/>
    <w:uiPriority w:val="99"/>
    <w:semiHidden/>
    <w:unhideWhenUsed/>
    <w:rsid w:val="00A05656"/>
    <w:pPr>
      <w:spacing w:after="0" w:line="240" w:lineRule="auto"/>
    </w:pPr>
    <w:rPr>
      <w:rFonts w:ascii="Tahoma" w:eastAsiaTheme="minorHAnsi" w:hAnsi="Tahoma" w:cs="Tahoma"/>
      <w:color w:val="auto"/>
      <w:sz w:val="16"/>
      <w:szCs w:val="16"/>
      <w:lang w:val="es-SV"/>
    </w:rPr>
  </w:style>
  <w:style w:type="character" w:customStyle="1" w:styleId="TextodegloboCar">
    <w:name w:val="Texto de globo Car"/>
    <w:basedOn w:val="Fuentedeprrafopredeter"/>
    <w:link w:val="Textodeglobo"/>
    <w:uiPriority w:val="99"/>
    <w:semiHidden/>
    <w:rsid w:val="00A05656"/>
    <w:rPr>
      <w:rFonts w:ascii="Tahoma" w:hAnsi="Tahoma" w:cs="Tahoma"/>
      <w:sz w:val="16"/>
      <w:szCs w:val="16"/>
    </w:rPr>
  </w:style>
  <w:style w:type="table" w:styleId="Tablaconcuadrcula">
    <w:name w:val="Table Grid"/>
    <w:basedOn w:val="Tablanormal"/>
    <w:uiPriority w:val="59"/>
    <w:rsid w:val="00AB6B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SV" w:eastAsia="es-S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325</Words>
  <Characters>1859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Sagastume</dc:creator>
  <cp:keywords/>
  <dc:description/>
  <cp:lastModifiedBy>IT</cp:lastModifiedBy>
  <cp:revision>2</cp:revision>
  <dcterms:created xsi:type="dcterms:W3CDTF">2013-11-06T21:33:00Z</dcterms:created>
  <dcterms:modified xsi:type="dcterms:W3CDTF">2013-11-06T21:33:00Z</dcterms:modified>
</cp:coreProperties>
</file>