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E5" w:rsidRDefault="005C0DE5" w:rsidP="00E02A96">
      <w:pPr>
        <w:jc w:val="center"/>
        <w:rPr>
          <w:b/>
          <w:sz w:val="28"/>
        </w:rPr>
      </w:pPr>
    </w:p>
    <w:p w:rsidR="005C0DE5" w:rsidRDefault="005C0DE5" w:rsidP="005C0DE5">
      <w:pPr>
        <w:rPr>
          <w:b/>
          <w:sz w:val="32"/>
        </w:rPr>
      </w:pPr>
    </w:p>
    <w:p w:rsidR="005C0DE5" w:rsidRDefault="005C0DE5" w:rsidP="005C0DE5">
      <w:pPr>
        <w:rPr>
          <w:b/>
          <w:sz w:val="32"/>
        </w:rPr>
      </w:pPr>
      <w:r>
        <w:rPr>
          <w:b/>
          <w:noProof/>
          <w:sz w:val="32"/>
          <w:lang w:eastAsia="es-CR"/>
        </w:rPr>
        <w:drawing>
          <wp:anchor distT="0" distB="0" distL="114300" distR="114300" simplePos="0" relativeHeight="251660288" behindDoc="0" locked="0" layoutInCell="1" allowOverlap="1">
            <wp:simplePos x="1095375" y="895350"/>
            <wp:positionH relativeFrom="margin">
              <wp:align>left</wp:align>
            </wp:positionH>
            <wp:positionV relativeFrom="margin">
              <wp:align>top</wp:align>
            </wp:positionV>
            <wp:extent cx="1343025" cy="1638300"/>
            <wp:effectExtent l="19050" t="0" r="9525" b="0"/>
            <wp:wrapSquare wrapText="bothSides"/>
            <wp:docPr id="1" name="0 Imagen" descr="logo rro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rocm.png"/>
                    <pic:cNvPicPr/>
                  </pic:nvPicPr>
                  <pic:blipFill>
                    <a:blip r:embed="rId5"/>
                    <a:stretch>
                      <a:fillRect/>
                    </a:stretch>
                  </pic:blipFill>
                  <pic:spPr>
                    <a:xfrm>
                      <a:off x="0" y="0"/>
                      <a:ext cx="1343025" cy="1638300"/>
                    </a:xfrm>
                    <a:prstGeom prst="rect">
                      <a:avLst/>
                    </a:prstGeom>
                  </pic:spPr>
                </pic:pic>
              </a:graphicData>
            </a:graphic>
          </wp:anchor>
        </w:drawing>
      </w:r>
      <w:r>
        <w:rPr>
          <w:b/>
          <w:sz w:val="32"/>
        </w:rPr>
        <w:t xml:space="preserve">PROPUESTA RROCM </w:t>
      </w:r>
    </w:p>
    <w:p w:rsidR="005C0DE5" w:rsidRPr="00E02A96" w:rsidRDefault="005C0DE5" w:rsidP="005C0DE5">
      <w:pPr>
        <w:rPr>
          <w:b/>
          <w:sz w:val="28"/>
        </w:rPr>
      </w:pPr>
      <w:r>
        <w:rPr>
          <w:b/>
          <w:noProof/>
          <w:sz w:val="32"/>
          <w:lang w:eastAsia="es-CR"/>
        </w:rPr>
        <w:pict>
          <v:shapetype id="_x0000_t32" coordsize="21600,21600" o:spt="32" o:oned="t" path="m,l21600,21600e" filled="f">
            <v:path arrowok="t" fillok="f" o:connecttype="none"/>
            <o:lock v:ext="edit" shapetype="t"/>
          </v:shapetype>
          <v:shape id="_x0000_s1026" type="#_x0000_t32" style="position:absolute;margin-left:-113.9pt;margin-top:47.45pt;width:483pt;height:0;z-index:251661312" o:connectortype="straight" strokecolor="#00b0f0" strokeweight="1.5pt"/>
        </w:pict>
      </w:r>
      <w:r w:rsidRPr="00E02A96">
        <w:rPr>
          <w:b/>
          <w:sz w:val="28"/>
        </w:rPr>
        <w:t>PRO</w:t>
      </w:r>
      <w:r>
        <w:rPr>
          <w:b/>
          <w:sz w:val="28"/>
        </w:rPr>
        <w:t>P</w:t>
      </w:r>
      <w:r w:rsidRPr="00E02A96">
        <w:rPr>
          <w:b/>
          <w:sz w:val="28"/>
        </w:rPr>
        <w:t>UESTAS DE TEMAS DE TRABAJO PARA GRUPOS VULNERABLES</w:t>
      </w:r>
    </w:p>
    <w:p w:rsidR="005C0DE5" w:rsidRDefault="005C0DE5" w:rsidP="00E02A96">
      <w:pPr>
        <w:jc w:val="center"/>
        <w:rPr>
          <w:b/>
          <w:sz w:val="28"/>
        </w:rPr>
      </w:pPr>
    </w:p>
    <w:p w:rsidR="00B51A5F" w:rsidRPr="00E02A96" w:rsidRDefault="00B51A5F" w:rsidP="00E02A96">
      <w:pPr>
        <w:pStyle w:val="Prrafodelista"/>
        <w:numPr>
          <w:ilvl w:val="0"/>
          <w:numId w:val="6"/>
        </w:numPr>
        <w:jc w:val="both"/>
        <w:rPr>
          <w:b/>
          <w:sz w:val="24"/>
        </w:rPr>
      </w:pPr>
      <w:r w:rsidRPr="00E02A96">
        <w:rPr>
          <w:b/>
          <w:sz w:val="24"/>
        </w:rPr>
        <w:t>Mujeres migrante</w:t>
      </w:r>
    </w:p>
    <w:p w:rsidR="00B51A5F" w:rsidRDefault="00B51A5F" w:rsidP="00E02A96">
      <w:pPr>
        <w:pStyle w:val="Prrafodelista"/>
        <w:jc w:val="both"/>
        <w:rPr>
          <w:b/>
        </w:rPr>
      </w:pPr>
    </w:p>
    <w:p w:rsidR="00B51A5F" w:rsidRDefault="00B51A5F" w:rsidP="00E02A96">
      <w:pPr>
        <w:pStyle w:val="Prrafodelista"/>
        <w:numPr>
          <w:ilvl w:val="0"/>
          <w:numId w:val="2"/>
        </w:numPr>
        <w:jc w:val="both"/>
      </w:pPr>
      <w:r>
        <w:t>Violencia</w:t>
      </w:r>
      <w:r w:rsidR="00E02A96">
        <w:t>s</w:t>
      </w:r>
      <w:r>
        <w:t xml:space="preserve"> contra</w:t>
      </w:r>
      <w:r w:rsidR="00E02A96">
        <w:t xml:space="preserve"> la mujer (origen, transito, destino y retorno)</w:t>
      </w:r>
    </w:p>
    <w:p w:rsidR="00B51A5F" w:rsidRDefault="00B51A5F" w:rsidP="00E02A96">
      <w:pPr>
        <w:pStyle w:val="Prrafodelista"/>
        <w:numPr>
          <w:ilvl w:val="1"/>
          <w:numId w:val="2"/>
        </w:numPr>
        <w:jc w:val="both"/>
      </w:pPr>
      <w:r>
        <w:t>Sexual</w:t>
      </w:r>
    </w:p>
    <w:p w:rsidR="00B51A5F" w:rsidRDefault="00B51A5F" w:rsidP="00E02A96">
      <w:pPr>
        <w:pStyle w:val="Prrafodelista"/>
        <w:numPr>
          <w:ilvl w:val="1"/>
          <w:numId w:val="2"/>
        </w:numPr>
        <w:jc w:val="both"/>
      </w:pPr>
      <w:r>
        <w:t>Laboral</w:t>
      </w:r>
    </w:p>
    <w:p w:rsidR="00B51A5F" w:rsidRDefault="00B51A5F" w:rsidP="00E02A96">
      <w:pPr>
        <w:pStyle w:val="Prrafodelista"/>
        <w:numPr>
          <w:ilvl w:val="1"/>
          <w:numId w:val="2"/>
        </w:numPr>
        <w:jc w:val="both"/>
      </w:pPr>
      <w:r>
        <w:t>Regularización migratoria</w:t>
      </w:r>
    </w:p>
    <w:p w:rsidR="00B51A5F" w:rsidRDefault="000030F5" w:rsidP="00E02A96">
      <w:pPr>
        <w:pStyle w:val="Prrafodelista"/>
        <w:numPr>
          <w:ilvl w:val="1"/>
          <w:numId w:val="2"/>
        </w:numPr>
        <w:jc w:val="both"/>
      </w:pPr>
      <w:r>
        <w:t>Análisis de casos de violencia para otorgar protección internacional (refugio)</w:t>
      </w:r>
    </w:p>
    <w:p w:rsidR="00B51A5F" w:rsidRPr="00B51A5F" w:rsidRDefault="00B51A5F" w:rsidP="00E02A96">
      <w:pPr>
        <w:pStyle w:val="Prrafodelista"/>
        <w:ind w:left="1440"/>
        <w:jc w:val="both"/>
      </w:pPr>
    </w:p>
    <w:p w:rsidR="00B51A5F" w:rsidRPr="00E02A96" w:rsidRDefault="00B51A5F" w:rsidP="00E02A96">
      <w:pPr>
        <w:pStyle w:val="Prrafodelista"/>
        <w:numPr>
          <w:ilvl w:val="0"/>
          <w:numId w:val="6"/>
        </w:numPr>
        <w:jc w:val="both"/>
        <w:rPr>
          <w:b/>
          <w:sz w:val="24"/>
        </w:rPr>
      </w:pPr>
      <w:r w:rsidRPr="00E02A96">
        <w:rPr>
          <w:b/>
          <w:sz w:val="24"/>
        </w:rPr>
        <w:t>Niñez migrante</w:t>
      </w:r>
    </w:p>
    <w:p w:rsidR="00E02A96" w:rsidRDefault="00E02A96" w:rsidP="00E02A96">
      <w:pPr>
        <w:pStyle w:val="Prrafodelista"/>
        <w:jc w:val="both"/>
        <w:rPr>
          <w:b/>
        </w:rPr>
      </w:pPr>
    </w:p>
    <w:p w:rsidR="00B51A5F" w:rsidRDefault="00C17FAF" w:rsidP="00E02A96">
      <w:pPr>
        <w:pStyle w:val="Prrafodelista"/>
        <w:numPr>
          <w:ilvl w:val="0"/>
          <w:numId w:val="2"/>
        </w:numPr>
        <w:jc w:val="both"/>
      </w:pPr>
      <w:r>
        <w:t xml:space="preserve">Cada país miembro de la CRM con su referente local de la RROCM revisar los procedimientos y prácticas </w:t>
      </w:r>
      <w:r w:rsidR="003C7A3D">
        <w:t xml:space="preserve">de la </w:t>
      </w:r>
      <w:r w:rsidR="000030F5">
        <w:t xml:space="preserve">interpretación </w:t>
      </w:r>
      <w:r w:rsidR="003C7A3D">
        <w:t>del</w:t>
      </w:r>
      <w:r>
        <w:t xml:space="preserve"> Interés Superior del Niño</w:t>
      </w:r>
      <w:r w:rsidR="000030F5">
        <w:t xml:space="preserve"> y después trabajar en procedimientos y mecanismos concretos de atención</w:t>
      </w:r>
      <w:r w:rsidR="00E02A96">
        <w:t>, deportación</w:t>
      </w:r>
      <w:r w:rsidR="000030F5">
        <w:t xml:space="preserve"> y seguimiento.</w:t>
      </w:r>
    </w:p>
    <w:p w:rsidR="00E02A96" w:rsidRDefault="00E02A96" w:rsidP="00E02A96">
      <w:pPr>
        <w:pStyle w:val="Prrafodelista"/>
        <w:numPr>
          <w:ilvl w:val="0"/>
          <w:numId w:val="2"/>
        </w:numPr>
        <w:jc w:val="both"/>
      </w:pPr>
      <w:r>
        <w:t xml:space="preserve">Incorporar el </w:t>
      </w:r>
      <w:r w:rsidR="000030F5">
        <w:t>Principio de no</w:t>
      </w:r>
      <w:r w:rsidR="00C17FAF">
        <w:t xml:space="preserve"> detención de esta población, la</w:t>
      </w:r>
      <w:r w:rsidR="000030F5">
        <w:t xml:space="preserve"> detención como último recurso y uso de la terminología correcta sobre este tema (no uso de eufemismos)</w:t>
      </w:r>
    </w:p>
    <w:p w:rsidR="000030F5" w:rsidRDefault="000030F5" w:rsidP="00E02A96">
      <w:pPr>
        <w:pStyle w:val="Prrafodelista"/>
        <w:numPr>
          <w:ilvl w:val="0"/>
          <w:numId w:val="2"/>
        </w:numPr>
        <w:jc w:val="both"/>
      </w:pPr>
      <w:r>
        <w:t xml:space="preserve">Derecho a la identidad: Revisión de la legislación y práctica sobre este aspecto y las consecuencias que trae la violación a este derecho. </w:t>
      </w:r>
    </w:p>
    <w:p w:rsidR="00E02A96" w:rsidRDefault="00E02A96" w:rsidP="00E02A96">
      <w:pPr>
        <w:pStyle w:val="Prrafodelista"/>
        <w:numPr>
          <w:ilvl w:val="0"/>
          <w:numId w:val="2"/>
        </w:numPr>
        <w:jc w:val="both"/>
      </w:pPr>
      <w:r>
        <w:t>Trabajar en la profesionalización de los agentes migratorios u otras figuras como los (</w:t>
      </w:r>
      <w:proofErr w:type="spellStart"/>
      <w:r>
        <w:t>OPI’s</w:t>
      </w:r>
      <w:proofErr w:type="spellEnd"/>
      <w:r>
        <w:t>) en atención a niñez migrante y crear mecanismos de evaluación y monitoreo permanentes</w:t>
      </w:r>
    </w:p>
    <w:p w:rsidR="00C17FAF" w:rsidRPr="00B51A5F" w:rsidRDefault="00C17FAF" w:rsidP="00E02A96">
      <w:pPr>
        <w:pStyle w:val="Prrafodelista"/>
        <w:jc w:val="both"/>
      </w:pPr>
    </w:p>
    <w:p w:rsidR="00B51A5F" w:rsidRPr="00E02A96" w:rsidRDefault="00B51A5F" w:rsidP="00E02A96">
      <w:pPr>
        <w:pStyle w:val="Prrafodelista"/>
        <w:numPr>
          <w:ilvl w:val="0"/>
          <w:numId w:val="6"/>
        </w:numPr>
        <w:jc w:val="both"/>
        <w:rPr>
          <w:b/>
          <w:sz w:val="24"/>
        </w:rPr>
      </w:pPr>
      <w:r w:rsidRPr="00E02A96">
        <w:rPr>
          <w:b/>
          <w:sz w:val="24"/>
        </w:rPr>
        <w:t>Trabajadores migratorios</w:t>
      </w:r>
    </w:p>
    <w:p w:rsidR="00E02A96" w:rsidRDefault="00E02A96" w:rsidP="00E02A96">
      <w:pPr>
        <w:pStyle w:val="Prrafodelista"/>
        <w:jc w:val="both"/>
        <w:rPr>
          <w:b/>
        </w:rPr>
      </w:pPr>
    </w:p>
    <w:p w:rsidR="000030F5" w:rsidRDefault="000030F5" w:rsidP="00E02A96">
      <w:pPr>
        <w:pStyle w:val="Prrafodelista"/>
        <w:numPr>
          <w:ilvl w:val="0"/>
          <w:numId w:val="3"/>
        </w:numPr>
        <w:jc w:val="both"/>
      </w:pPr>
      <w:r>
        <w:t xml:space="preserve">Reconocimiento </w:t>
      </w:r>
      <w:r w:rsidR="00E02A96">
        <w:t xml:space="preserve">y garantía de acceso </w:t>
      </w:r>
      <w:r>
        <w:t>de los derechos de los trabajadores temporales</w:t>
      </w:r>
    </w:p>
    <w:p w:rsidR="000030F5" w:rsidRDefault="000030F5" w:rsidP="00E02A96">
      <w:pPr>
        <w:pStyle w:val="Prrafodelista"/>
        <w:numPr>
          <w:ilvl w:val="0"/>
          <w:numId w:val="3"/>
        </w:numPr>
        <w:jc w:val="both"/>
      </w:pPr>
      <w:r>
        <w:t xml:space="preserve">Revisar la posibilidad de ampliar algunos mecanismos de documentación migratoria con los que se cuenta en la región para facilitar la documentación de los trabajadores temporales. Por ejemplo que el CA-4 contemple el tema laboral o la ampliación de la Tarjeta de Visitante Trabajador Fronterizo de México a personas de otras nacionalidades más allá de las nacionalidades guatemalteca y beliceña. </w:t>
      </w:r>
    </w:p>
    <w:p w:rsidR="000030F5" w:rsidRPr="000030F5" w:rsidRDefault="000030F5" w:rsidP="00E02A96">
      <w:pPr>
        <w:pStyle w:val="Prrafodelista"/>
        <w:jc w:val="both"/>
      </w:pPr>
    </w:p>
    <w:p w:rsidR="00B51A5F" w:rsidRPr="00E02A96" w:rsidRDefault="00B51A5F" w:rsidP="00E02A96">
      <w:pPr>
        <w:pStyle w:val="Prrafodelista"/>
        <w:numPr>
          <w:ilvl w:val="0"/>
          <w:numId w:val="6"/>
        </w:numPr>
        <w:jc w:val="both"/>
        <w:rPr>
          <w:b/>
          <w:sz w:val="24"/>
        </w:rPr>
      </w:pPr>
      <w:r w:rsidRPr="00E02A96">
        <w:rPr>
          <w:b/>
          <w:sz w:val="24"/>
        </w:rPr>
        <w:t>Poblaciones LGBTI</w:t>
      </w:r>
    </w:p>
    <w:p w:rsidR="00E02A96" w:rsidRDefault="00E02A96" w:rsidP="00E02A96">
      <w:pPr>
        <w:pStyle w:val="Prrafodelista"/>
        <w:jc w:val="both"/>
        <w:rPr>
          <w:b/>
        </w:rPr>
      </w:pPr>
    </w:p>
    <w:p w:rsidR="00E02A96" w:rsidRPr="00B51A5F" w:rsidRDefault="00E02A96" w:rsidP="00E02A96">
      <w:pPr>
        <w:pStyle w:val="Prrafodelista"/>
        <w:numPr>
          <w:ilvl w:val="0"/>
          <w:numId w:val="1"/>
        </w:numPr>
        <w:jc w:val="both"/>
        <w:rPr>
          <w:b/>
        </w:rPr>
      </w:pPr>
      <w:r>
        <w:t xml:space="preserve">Revisar la legislación y práctica que hay respecto a casos de persecución por identidad de género para el otorgamiento de refugio y/o posibilidades de regularización migratoria. </w:t>
      </w:r>
    </w:p>
    <w:sectPr w:rsidR="00E02A96" w:rsidRPr="00B51A5F" w:rsidSect="002717C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B42"/>
    <w:multiLevelType w:val="hybridMultilevel"/>
    <w:tmpl w:val="2EA49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B908F6"/>
    <w:multiLevelType w:val="hybridMultilevel"/>
    <w:tmpl w:val="2376B1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FF1051"/>
    <w:multiLevelType w:val="hybridMultilevel"/>
    <w:tmpl w:val="9386EEAC"/>
    <w:lvl w:ilvl="0" w:tplc="9F5AD4C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F654D4C"/>
    <w:multiLevelType w:val="hybridMultilevel"/>
    <w:tmpl w:val="045A2C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C2C55D7"/>
    <w:multiLevelType w:val="hybridMultilevel"/>
    <w:tmpl w:val="AF82C5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DF4234B"/>
    <w:multiLevelType w:val="hybridMultilevel"/>
    <w:tmpl w:val="E1CAC8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B51A5F"/>
    <w:rsid w:val="000030F5"/>
    <w:rsid w:val="000909BC"/>
    <w:rsid w:val="000E7783"/>
    <w:rsid w:val="00270EBC"/>
    <w:rsid w:val="002717C3"/>
    <w:rsid w:val="003C7A3D"/>
    <w:rsid w:val="005C0DE5"/>
    <w:rsid w:val="007570EE"/>
    <w:rsid w:val="00B20D8E"/>
    <w:rsid w:val="00B51A5F"/>
    <w:rsid w:val="00C17FAF"/>
    <w:rsid w:val="00E02A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1A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Meza</dc:creator>
  <cp:lastModifiedBy>Centor</cp:lastModifiedBy>
  <cp:revision>2</cp:revision>
  <dcterms:created xsi:type="dcterms:W3CDTF">2013-02-21T15:16:00Z</dcterms:created>
  <dcterms:modified xsi:type="dcterms:W3CDTF">2013-02-21T17:03:00Z</dcterms:modified>
</cp:coreProperties>
</file>